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p>
    <w:p w:rsidR="002B7E4F" w:rsidRPr="002B7E4F" w:rsidRDefault="002B7E4F" w:rsidP="002B7E4F">
      <w:pPr>
        <w:jc w:val="both"/>
        <w:rPr>
          <w:rFonts w:ascii="Arial" w:hAnsi="Arial" w:cs="Arial"/>
          <w:b/>
          <w:caps/>
          <w:sz w:val="22"/>
          <w:szCs w:val="22"/>
          <w:lang w:val="es-MX"/>
        </w:rPr>
      </w:pPr>
      <w:r w:rsidRPr="002B7E4F">
        <w:rPr>
          <w:rFonts w:ascii="Arial" w:hAnsi="Arial" w:cs="Arial"/>
          <w:b/>
          <w:sz w:val="22"/>
          <w:szCs w:val="22"/>
          <w:lang w:val="es-MX"/>
        </w:rPr>
        <w:t>EP</w:t>
      </w:r>
      <w:r>
        <w:rPr>
          <w:rFonts w:ascii="Arial" w:hAnsi="Arial" w:cs="Arial"/>
          <w:b/>
          <w:sz w:val="22"/>
          <w:szCs w:val="22"/>
          <w:lang w:val="es-MX"/>
        </w:rPr>
        <w:t>.</w:t>
      </w:r>
      <w:r w:rsidRPr="002B7E4F">
        <w:rPr>
          <w:rFonts w:ascii="Arial" w:hAnsi="Arial" w:cs="Arial"/>
          <w:b/>
          <w:sz w:val="22"/>
          <w:szCs w:val="22"/>
          <w:lang w:val="es-MX"/>
        </w:rPr>
        <w:t xml:space="preserve"> 84</w:t>
      </w:r>
      <w:r>
        <w:rPr>
          <w:rFonts w:ascii="Arial" w:hAnsi="Arial" w:cs="Arial"/>
          <w:b/>
          <w:sz w:val="22"/>
          <w:szCs w:val="22"/>
          <w:lang w:val="es-MX"/>
        </w:rPr>
        <w:t>.-</w:t>
      </w:r>
      <w:r w:rsidRPr="002B7E4F">
        <w:rPr>
          <w:rFonts w:ascii="Arial" w:hAnsi="Arial" w:cs="Arial"/>
          <w:b/>
          <w:sz w:val="22"/>
          <w:szCs w:val="22"/>
          <w:lang w:val="es-MX"/>
        </w:rPr>
        <w:t xml:space="preserve"> </w:t>
      </w:r>
      <w:r w:rsidRPr="002B7E4F">
        <w:rPr>
          <w:rFonts w:ascii="Arial" w:hAnsi="Arial" w:cs="Arial"/>
          <w:b/>
          <w:caps/>
          <w:sz w:val="22"/>
          <w:szCs w:val="22"/>
          <w:lang w:val="es-MX"/>
        </w:rPr>
        <w:t>Salida Hidráulica para WC</w:t>
      </w:r>
    </w:p>
    <w:p w:rsidR="002B7E4F" w:rsidRPr="002B7E4F" w:rsidRDefault="002B7E4F" w:rsidP="002B7E4F">
      <w:pPr>
        <w:jc w:val="both"/>
        <w:rPr>
          <w:rFonts w:ascii="Arial" w:hAnsi="Arial" w:cs="Arial"/>
          <w:b/>
          <w:caps/>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Salida hidráulica para </w:t>
      </w:r>
      <w:proofErr w:type="spellStart"/>
      <w:r w:rsidRPr="002B7E4F">
        <w:rPr>
          <w:rFonts w:ascii="Arial" w:hAnsi="Arial" w:cs="Arial"/>
          <w:sz w:val="22"/>
          <w:szCs w:val="22"/>
        </w:rPr>
        <w:t>w.c.</w:t>
      </w:r>
      <w:proofErr w:type="spellEnd"/>
      <w:r w:rsidRPr="002B7E4F">
        <w:rPr>
          <w:rFonts w:ascii="Arial" w:hAnsi="Arial" w:cs="Arial"/>
          <w:sz w:val="22"/>
          <w:szCs w:val="22"/>
        </w:rPr>
        <w:t xml:space="preserve"> con fluxómetro a base de tubería de cobre de 32mm, parte proporcional de accesorios, válvulas, conectores,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tapones capa, fluxómetro para WC </w:t>
      </w:r>
      <w:proofErr w:type="spellStart"/>
      <w:r w:rsidRPr="002B7E4F">
        <w:rPr>
          <w:rFonts w:ascii="Arial" w:hAnsi="Arial" w:cs="Arial"/>
          <w:sz w:val="22"/>
          <w:szCs w:val="22"/>
        </w:rPr>
        <w:t>mca</w:t>
      </w:r>
      <w:proofErr w:type="spellEnd"/>
      <w:r w:rsidRPr="002B7E4F">
        <w:rPr>
          <w:rFonts w:ascii="Arial" w:hAnsi="Arial" w:cs="Arial"/>
          <w:sz w:val="22"/>
          <w:szCs w:val="22"/>
        </w:rPr>
        <w:t>. HELVEX o similar, pruebas, puesta en marcha incluye: materiales, instalación, mano de obra, pruebas, equipo y herramienta, limpieza del área de trabajo, elevaciones, cortes, retiros, y de acuerdo a proyecto ejecutivo.</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8"/>
        </w:numPr>
        <w:rPr>
          <w:rFonts w:ascii="Arial" w:hAnsi="Arial" w:cs="Arial"/>
          <w:b/>
          <w:sz w:val="22"/>
          <w:szCs w:val="22"/>
        </w:rPr>
      </w:pPr>
      <w:bookmarkStart w:id="0" w:name="_Toc368180012"/>
      <w:r w:rsidRPr="002B7E4F">
        <w:rPr>
          <w:rFonts w:ascii="Arial" w:hAnsi="Arial" w:cs="Arial"/>
          <w:b/>
          <w:sz w:val="22"/>
          <w:szCs w:val="22"/>
        </w:rPr>
        <w:t>Características Técnicas</w:t>
      </w:r>
      <w:bookmarkEnd w:id="0"/>
    </w:p>
    <w:p w:rsidR="002B7E4F" w:rsidRPr="002B7E4F" w:rsidRDefault="002B7E4F" w:rsidP="00462F48">
      <w:pPr>
        <w:pStyle w:val="TITULO-4"/>
        <w:numPr>
          <w:ilvl w:val="3"/>
          <w:numId w:val="8"/>
        </w:numPr>
        <w:rPr>
          <w:spacing w:val="-1"/>
          <w:sz w:val="22"/>
          <w:szCs w:val="22"/>
        </w:rPr>
      </w:pPr>
      <w:bookmarkStart w:id="1" w:name="_Toc368180013"/>
      <w:r w:rsidRPr="002B7E4F">
        <w:rPr>
          <w:spacing w:val="-1"/>
          <w:sz w:val="22"/>
          <w:szCs w:val="22"/>
        </w:rPr>
        <w:t>Base de selección.</w:t>
      </w:r>
      <w:bookmarkEnd w:id="1"/>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de los materiales seleccionados se han basado en la siguiente tabla y ha servido de guía para la selección de las mismas.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Para la tubería se tiene lo siguiente:</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AD278C" w:rsidP="002B7E4F">
      <w:pPr>
        <w:jc w:val="both"/>
        <w:rPr>
          <w:rFonts w:ascii="Arial" w:hAnsi="Arial" w:cs="Arial"/>
          <w:sz w:val="22"/>
          <w:szCs w:val="22"/>
        </w:rPr>
      </w:pPr>
      <w:r>
        <w:rPr>
          <w:rFonts w:ascii="Arial" w:hAnsi="Arial" w:cs="Arial"/>
          <w:noProof/>
          <w:sz w:val="22"/>
          <w:szCs w:val="22"/>
          <w:lang w:eastAsia="en-US"/>
        </w:rPr>
        <w:pict>
          <v:rect id="_x0000_s1028" style="position:absolute;left:0;text-align:left;margin-left:12.05pt;margin-top:168.6pt;width:432.6pt;height:23.15pt;z-index:251671552" filled="f" strokecolor="#c0504d" strokeweight="2.5pt">
            <v:shadow color="#868686"/>
          </v:rect>
        </w:pict>
      </w:r>
      <w:r w:rsidR="002B7E4F" w:rsidRPr="002B7E4F">
        <w:rPr>
          <w:rFonts w:ascii="Arial" w:hAnsi="Arial" w:cs="Arial"/>
          <w:noProof/>
          <w:sz w:val="22"/>
          <w:szCs w:val="22"/>
          <w:lang w:val="es-MX" w:eastAsia="es-MX"/>
        </w:rPr>
        <w:drawing>
          <wp:inline distT="0" distB="0" distL="0" distR="0">
            <wp:extent cx="5726368" cy="3870251"/>
            <wp:effectExtent l="19050" t="0" r="7682" b="0"/>
            <wp:docPr id="20"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5728563" cy="3871734"/>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Para los accesorios se tiene lo siguiente:</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drawing>
          <wp:inline distT="0" distB="0" distL="0" distR="0">
            <wp:extent cx="5943600" cy="1647825"/>
            <wp:effectExtent l="19050" t="0" r="0" b="0"/>
            <wp:docPr id="21"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srcRect/>
                    <a:stretch>
                      <a:fillRect/>
                    </a:stretch>
                  </pic:blipFill>
                  <pic:spPr bwMode="auto">
                    <a:xfrm>
                      <a:off x="0" y="0"/>
                      <a:ext cx="5943600" cy="164782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drawing>
          <wp:inline distT="0" distB="0" distL="0" distR="0">
            <wp:extent cx="5932805" cy="1573530"/>
            <wp:effectExtent l="19050" t="0" r="0" b="0"/>
            <wp:docPr id="2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srcRect/>
                    <a:stretch>
                      <a:fillRect/>
                    </a:stretch>
                  </pic:blipFill>
                  <pic:spPr bwMode="auto">
                    <a:xfrm>
                      <a:off x="0" y="0"/>
                      <a:ext cx="5932805" cy="157353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drawing>
          <wp:inline distT="0" distB="0" distL="0" distR="0">
            <wp:extent cx="5932805" cy="1786255"/>
            <wp:effectExtent l="19050" t="0" r="0" b="0"/>
            <wp:docPr id="23"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5932805" cy="178625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drawing>
          <wp:inline distT="0" distB="0" distL="0" distR="0">
            <wp:extent cx="5528945" cy="6762115"/>
            <wp:effectExtent l="19050" t="0" r="0" b="0"/>
            <wp:docPr id="24"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srcRect/>
                    <a:stretch>
                      <a:fillRect/>
                    </a:stretch>
                  </pic:blipFill>
                  <pic:spPr bwMode="auto">
                    <a:xfrm>
                      <a:off x="0" y="0"/>
                      <a:ext cx="5528945" cy="676211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433060" cy="6390005"/>
            <wp:effectExtent l="19050" t="0" r="0" b="0"/>
            <wp:docPr id="25"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srcRect/>
                    <a:stretch>
                      <a:fillRect/>
                    </a:stretch>
                  </pic:blipFill>
                  <pic:spPr bwMode="auto">
                    <a:xfrm>
                      <a:off x="0" y="0"/>
                      <a:ext cx="5433060" cy="639000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932805" cy="2286000"/>
            <wp:effectExtent l="19050" t="0" r="0" b="0"/>
            <wp:docPr id="26"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5932805" cy="228600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b/>
          <w:sz w:val="22"/>
          <w:szCs w:val="22"/>
        </w:rPr>
      </w:pPr>
      <w:r w:rsidRPr="002B7E4F">
        <w:rPr>
          <w:rFonts w:ascii="Arial" w:hAnsi="Arial" w:cs="Arial"/>
          <w:b/>
          <w:sz w:val="22"/>
          <w:szCs w:val="22"/>
        </w:rPr>
        <w:t xml:space="preserve">NOTA: los accesorios son </w:t>
      </w:r>
      <w:proofErr w:type="spellStart"/>
      <w:r w:rsidRPr="002B7E4F">
        <w:rPr>
          <w:rFonts w:ascii="Arial" w:hAnsi="Arial" w:cs="Arial"/>
          <w:b/>
          <w:sz w:val="22"/>
          <w:szCs w:val="22"/>
        </w:rPr>
        <w:t>validos</w:t>
      </w:r>
      <w:proofErr w:type="spellEnd"/>
      <w:r w:rsidRPr="002B7E4F">
        <w:rPr>
          <w:rFonts w:ascii="Arial" w:hAnsi="Arial" w:cs="Arial"/>
          <w:b/>
          <w:sz w:val="22"/>
          <w:szCs w:val="22"/>
        </w:rPr>
        <w:t xml:space="preserve"> para todos los conceptos contemplados en esta especificación.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material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2B7E4F" w:rsidRPr="002B7E4F" w:rsidRDefault="002B7E4F" w:rsidP="002B7E4F">
      <w:pPr>
        <w:jc w:val="both"/>
        <w:rPr>
          <w:rFonts w:ascii="Arial" w:hAnsi="Arial" w:cs="Arial"/>
          <w:sz w:val="22"/>
          <w:szCs w:val="22"/>
        </w:rPr>
      </w:pPr>
    </w:p>
    <w:p w:rsidR="002B7E4F" w:rsidRPr="002B7E4F" w:rsidRDefault="002B7E4F" w:rsidP="002B7E4F">
      <w:pPr>
        <w:widowControl w:val="0"/>
        <w:overflowPunct w:val="0"/>
        <w:autoSpaceDE w:val="0"/>
        <w:autoSpaceDN w:val="0"/>
        <w:adjustRightInd w:val="0"/>
        <w:ind w:right="627"/>
        <w:jc w:val="both"/>
        <w:textAlignment w:val="baseline"/>
        <w:rPr>
          <w:rStyle w:val="CarCar92"/>
          <w:rFonts w:ascii="Arial" w:hAnsi="Arial" w:cs="Arial"/>
          <w:sz w:val="22"/>
          <w:szCs w:val="22"/>
        </w:rPr>
      </w:pPr>
    </w:p>
    <w:p w:rsidR="002B7E4F" w:rsidRPr="002B7E4F" w:rsidRDefault="002B7E4F" w:rsidP="00462F48">
      <w:pPr>
        <w:pStyle w:val="TITULO-3"/>
        <w:numPr>
          <w:ilvl w:val="2"/>
          <w:numId w:val="8"/>
        </w:numPr>
        <w:tabs>
          <w:tab w:val="clear" w:pos="1440"/>
          <w:tab w:val="num" w:pos="851"/>
        </w:tabs>
        <w:ind w:left="851" w:hanging="851"/>
        <w:rPr>
          <w:rFonts w:ascii="Arial" w:hAnsi="Arial" w:cs="Arial"/>
          <w:b/>
          <w:sz w:val="22"/>
          <w:szCs w:val="22"/>
        </w:rPr>
      </w:pPr>
      <w:bookmarkStart w:id="2" w:name="_Toc368180014"/>
      <w:r w:rsidRPr="002B7E4F">
        <w:rPr>
          <w:rFonts w:ascii="Arial" w:hAnsi="Arial" w:cs="Arial"/>
          <w:b/>
          <w:sz w:val="22"/>
          <w:szCs w:val="22"/>
        </w:rPr>
        <w:t>Ejecución de Obra</w:t>
      </w:r>
      <w:bookmarkEnd w:id="2"/>
    </w:p>
    <w:p w:rsidR="002B7E4F" w:rsidRPr="002B7E4F" w:rsidRDefault="002B7E4F" w:rsidP="00462F48">
      <w:pPr>
        <w:pStyle w:val="TITULO-4"/>
        <w:numPr>
          <w:ilvl w:val="3"/>
          <w:numId w:val="8"/>
        </w:numPr>
        <w:rPr>
          <w:sz w:val="22"/>
          <w:szCs w:val="22"/>
        </w:rPr>
      </w:pPr>
      <w:bookmarkStart w:id="3" w:name="_Toc368180015"/>
      <w:r w:rsidRPr="002B7E4F">
        <w:rPr>
          <w:sz w:val="22"/>
          <w:szCs w:val="22"/>
        </w:rPr>
        <w:t>Trabajos preliminares</w:t>
      </w:r>
      <w:bookmarkEnd w:id="3"/>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las salidas hidráulica para WC para los diferentes núcleos sanitarios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supervisara de manera constante la correcta instalación de los materiales que conforman el concepto de Salida hidráulica para W.C. Se deberá hacer el trazo en primera instancia que permita prever posibles interferencias con las demás especialidades. Así mismo, deberán de colocarse los soportes necesarios que fijarán las tanto las tuberías verticales y  horizontales con las distancias adecuadas según lo </w:t>
      </w:r>
      <w:r w:rsidRPr="002B7E4F">
        <w:rPr>
          <w:rFonts w:ascii="Arial" w:hAnsi="Arial" w:cs="Arial"/>
          <w:sz w:val="22"/>
          <w:szCs w:val="22"/>
        </w:rPr>
        <w:lastRenderedPageBreak/>
        <w:t>indicado en la normatividad correspondiente y considerando también las recomendaciones y prácticas para dicho sistema del fabricante de las mismas.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8"/>
        </w:numPr>
        <w:rPr>
          <w:sz w:val="22"/>
          <w:szCs w:val="22"/>
        </w:rPr>
      </w:pPr>
      <w:bookmarkStart w:id="4" w:name="_Toc368180016"/>
      <w:r w:rsidRPr="002B7E4F">
        <w:rPr>
          <w:sz w:val="22"/>
          <w:szCs w:val="22"/>
        </w:rPr>
        <w:t>Almacenaje y transporte.</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óptimas para el almacenaje de los materiales y que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8"/>
        </w:numPr>
        <w:rPr>
          <w:sz w:val="22"/>
          <w:szCs w:val="22"/>
        </w:rPr>
      </w:pPr>
      <w:bookmarkStart w:id="5" w:name="_Toc368180017"/>
      <w:r w:rsidRPr="002B7E4F">
        <w:rPr>
          <w:sz w:val="22"/>
          <w:szCs w:val="22"/>
        </w:rPr>
        <w:t>Instalación</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del equipo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de las instalaciones de Salida hidráulica para W.C deberá ejecutarse antes del colado de las losas y sobretodo del armado de los pisos estructurales. Esta previsión evitará que se tengan que romper los pisos o elementos estructurales y con ello su posible debilitamiento. La preparación de las salidas hidráulicas también contempla la previsión de los </w:t>
      </w:r>
      <w:proofErr w:type="spellStart"/>
      <w:r w:rsidRPr="002B7E4F">
        <w:rPr>
          <w:rFonts w:ascii="Arial" w:hAnsi="Arial" w:cs="Arial"/>
          <w:sz w:val="22"/>
          <w:szCs w:val="22"/>
        </w:rPr>
        <w:t>pasatubos</w:t>
      </w:r>
      <w:proofErr w:type="spellEnd"/>
      <w:r w:rsidRPr="002B7E4F">
        <w:rPr>
          <w:rFonts w:ascii="Arial" w:hAnsi="Arial" w:cs="Arial"/>
          <w:sz w:val="22"/>
          <w:szCs w:val="22"/>
        </w:rPr>
        <w:t>, en todas las posiciones verticales y horizontales necesarias.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 responsabilidad del contratista de instalaciones hidráulicas la colocación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necesarios en las diferentes losas o elementos estructurales.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Aunado a todo ello,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contratista de la obra responsable de dichos trabajos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El instalador de las salidas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instalador de las salidas hidráulicas,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8"/>
        </w:numPr>
        <w:tabs>
          <w:tab w:val="clear" w:pos="1440"/>
          <w:tab w:val="num" w:pos="851"/>
        </w:tabs>
        <w:ind w:left="851" w:hanging="851"/>
        <w:rPr>
          <w:rFonts w:ascii="Arial" w:hAnsi="Arial" w:cs="Arial"/>
          <w:b/>
          <w:sz w:val="22"/>
          <w:szCs w:val="22"/>
        </w:rPr>
      </w:pPr>
      <w:bookmarkStart w:id="6" w:name="_Toc368180018"/>
      <w:r w:rsidRPr="002B7E4F">
        <w:rPr>
          <w:rFonts w:ascii="Arial" w:hAnsi="Arial" w:cs="Arial"/>
          <w:b/>
          <w:sz w:val="22"/>
          <w:szCs w:val="22"/>
        </w:rPr>
        <w:t>Medición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Las salidas hidráulicas para WC se medirán por unidad de  salida y contemplará el conjunto de accesorios, tuberías, elementos de conexión, materiales de fijación, trazos, nivelaciones, pruebas que en su conjunto coadyuven al correcto funcionamiento de la salida sanitaria para WC.</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Una salida corresponderá a todos los elementos, accesorios, tuberías de diversos diámetros así como codos, </w:t>
      </w:r>
      <w:proofErr w:type="spellStart"/>
      <w:r w:rsidRPr="002B7E4F">
        <w:rPr>
          <w:rFonts w:ascii="Arial" w:hAnsi="Arial" w:cs="Arial"/>
          <w:sz w:val="22"/>
          <w:szCs w:val="22"/>
        </w:rPr>
        <w:t>tees</w:t>
      </w:r>
      <w:proofErr w:type="spellEnd"/>
      <w:r w:rsidRPr="002B7E4F">
        <w:rPr>
          <w:rFonts w:ascii="Arial" w:hAnsi="Arial" w:cs="Arial"/>
          <w:sz w:val="22"/>
          <w:szCs w:val="22"/>
        </w:rPr>
        <w:t xml:space="preserve">, </w:t>
      </w:r>
      <w:proofErr w:type="spellStart"/>
      <w:r w:rsidRPr="002B7E4F">
        <w:rPr>
          <w:rFonts w:ascii="Arial" w:hAnsi="Arial" w:cs="Arial"/>
          <w:sz w:val="22"/>
          <w:szCs w:val="22"/>
        </w:rPr>
        <w:t>yees</w:t>
      </w:r>
      <w:proofErr w:type="spellEnd"/>
      <w:r w:rsidRPr="002B7E4F">
        <w:rPr>
          <w:rFonts w:ascii="Arial" w:hAnsi="Arial" w:cs="Arial"/>
          <w:sz w:val="22"/>
          <w:szCs w:val="22"/>
        </w:rPr>
        <w:t xml:space="preserve">,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adecuada para las tuberías, tramo de tubería de 4” de diámetro y de 3” para ramales secundarios y tubos de ventila y toda la conexión requerida  hasta el ramal principal.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8"/>
        </w:numPr>
        <w:tabs>
          <w:tab w:val="clear" w:pos="1440"/>
          <w:tab w:val="num" w:pos="851"/>
        </w:tabs>
        <w:ind w:left="851" w:hanging="851"/>
        <w:rPr>
          <w:rFonts w:ascii="Arial" w:hAnsi="Arial" w:cs="Arial"/>
          <w:b/>
          <w:sz w:val="22"/>
          <w:szCs w:val="22"/>
        </w:rPr>
      </w:pPr>
      <w:bookmarkStart w:id="7" w:name="_Toc368180019"/>
      <w:r w:rsidRPr="002B7E4F">
        <w:rPr>
          <w:rFonts w:ascii="Arial" w:hAnsi="Arial" w:cs="Arial"/>
          <w:b/>
          <w:sz w:val="22"/>
          <w:szCs w:val="22"/>
        </w:rPr>
        <w:t>Pruebas y Ensayo</w:t>
      </w:r>
      <w:bookmarkEnd w:id="7"/>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2B7E4F" w:rsidRPr="002B7E4F" w:rsidRDefault="002B7E4F" w:rsidP="002B7E4F">
      <w:pPr>
        <w:tabs>
          <w:tab w:val="left" w:pos="426"/>
        </w:tabs>
        <w:jc w:val="both"/>
        <w:rPr>
          <w:rFonts w:ascii="Arial" w:hAnsi="Arial" w:cs="Arial"/>
          <w:color w:val="FF0000"/>
          <w:sz w:val="22"/>
          <w:szCs w:val="22"/>
        </w:rPr>
      </w:pPr>
      <w:r w:rsidRPr="002B7E4F">
        <w:rPr>
          <w:rFonts w:ascii="Arial" w:hAnsi="Arial" w:cs="Arial"/>
          <w:sz w:val="22"/>
          <w:szCs w:val="22"/>
        </w:rPr>
        <w:t>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 de instalación hidráulica.</w:t>
      </w:r>
      <w:r w:rsidRPr="002B7E4F">
        <w:rPr>
          <w:rFonts w:ascii="Arial" w:hAnsi="Arial" w:cs="Arial"/>
          <w:color w:val="FF0000"/>
          <w:sz w:val="22"/>
          <w:szCs w:val="22"/>
        </w:rPr>
        <w:t xml:space="preserve">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siguientes pruebas deberán de considerarse como mínimos para el presente concepto y está bajo </w:t>
      </w:r>
      <w:proofErr w:type="gramStart"/>
      <w:r w:rsidRPr="002B7E4F">
        <w:rPr>
          <w:rFonts w:ascii="Arial" w:hAnsi="Arial" w:cs="Arial"/>
          <w:sz w:val="22"/>
          <w:szCs w:val="22"/>
        </w:rPr>
        <w:t>los indicado</w:t>
      </w:r>
      <w:proofErr w:type="gramEnd"/>
      <w:r w:rsidRPr="002B7E4F">
        <w:rPr>
          <w:rFonts w:ascii="Arial" w:hAnsi="Arial" w:cs="Arial"/>
          <w:sz w:val="22"/>
          <w:szCs w:val="22"/>
        </w:rPr>
        <w:t xml:space="preserve"> en la normativa aplicable:</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2B7E4F">
      <w:pPr>
        <w:tabs>
          <w:tab w:val="left" w:pos="426"/>
        </w:tabs>
        <w:ind w:left="720"/>
        <w:jc w:val="both"/>
        <w:rPr>
          <w:rFonts w:ascii="Arial" w:hAnsi="Arial" w:cs="Arial"/>
          <w:color w:val="FF0000"/>
          <w:sz w:val="22"/>
          <w:szCs w:val="22"/>
        </w:rPr>
      </w:pPr>
    </w:p>
    <w:p w:rsidR="002B7E4F" w:rsidRPr="002B7E4F" w:rsidRDefault="002B7E4F" w:rsidP="00462F48">
      <w:pPr>
        <w:pStyle w:val="TITULO-4"/>
        <w:numPr>
          <w:ilvl w:val="3"/>
          <w:numId w:val="8"/>
        </w:numPr>
        <w:rPr>
          <w:sz w:val="22"/>
          <w:szCs w:val="22"/>
        </w:rPr>
      </w:pPr>
      <w:bookmarkStart w:id="8" w:name="_Toc368180020"/>
      <w:r w:rsidRPr="002B7E4F">
        <w:rPr>
          <w:sz w:val="22"/>
          <w:szCs w:val="22"/>
        </w:rPr>
        <w:t>Garantías de calidad</w:t>
      </w:r>
      <w:bookmarkEnd w:id="8"/>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proveedor  debe  corresponder  a  una  firma  experimentada  en  la fabricación de este tipo de equipos (5 años de experiencia  como  mínimo).  Esta  experiencia  deberá  ser  </w:t>
      </w:r>
      <w:r w:rsidRPr="002B7E4F">
        <w:rPr>
          <w:rFonts w:ascii="Arial" w:hAnsi="Arial" w:cs="Arial"/>
          <w:sz w:val="22"/>
          <w:szCs w:val="22"/>
        </w:rPr>
        <w:lastRenderedPageBreak/>
        <w:t>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responsable de dichos trabajos,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8"/>
        </w:numPr>
        <w:rPr>
          <w:sz w:val="22"/>
          <w:szCs w:val="22"/>
        </w:rPr>
      </w:pPr>
      <w:bookmarkStart w:id="9" w:name="_Toc368180021"/>
      <w:r w:rsidRPr="002B7E4F">
        <w:rPr>
          <w:sz w:val="22"/>
          <w:szCs w:val="22"/>
        </w:rPr>
        <w:t>Garantías técnicas</w:t>
      </w:r>
      <w:bookmarkEnd w:id="9"/>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instalador del sistema de instalación hidráulica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8"/>
        </w:numPr>
        <w:tabs>
          <w:tab w:val="clear" w:pos="1440"/>
          <w:tab w:val="num" w:pos="851"/>
        </w:tabs>
        <w:ind w:left="851" w:hanging="851"/>
        <w:rPr>
          <w:rFonts w:ascii="Arial" w:hAnsi="Arial" w:cs="Arial"/>
          <w:b/>
          <w:sz w:val="22"/>
          <w:szCs w:val="22"/>
        </w:rPr>
      </w:pPr>
      <w:bookmarkStart w:id="10" w:name="_Toc368180022"/>
      <w:r w:rsidRPr="002B7E4F">
        <w:rPr>
          <w:rFonts w:ascii="Arial" w:hAnsi="Arial" w:cs="Arial"/>
          <w:b/>
          <w:sz w:val="22"/>
          <w:szCs w:val="22"/>
        </w:rPr>
        <w:t>Base de Pago</w:t>
      </w:r>
      <w:bookmarkEnd w:id="10"/>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bookmarkStart w:id="11" w:name="_GoBack"/>
      <w:bookmarkEnd w:id="11"/>
    </w:p>
    <w:sectPr w:rsidR="002B7E4F" w:rsidRPr="002B7E4F" w:rsidSect="00990E1E">
      <w:headerReference w:type="default" r:id="rId16"/>
      <w:footerReference w:type="even" r:id="rId17"/>
      <w:footerReference w:type="default" r:id="rId18"/>
      <w:footerReference w:type="first" r:id="rId19"/>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D278C">
      <w:rPr>
        <w:rStyle w:val="Nmerodepgina"/>
        <w:noProof/>
      </w:rPr>
      <w:t>8</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17D3F"/>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278C"/>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26899-60BF-429C-B305-2DD4EC5D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1496</Words>
  <Characters>8493</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9970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2014-04-10T21:54:00Z</dcterms:created>
  <dcterms:modified xsi:type="dcterms:W3CDTF">2014-04-10T21:55:00Z</dcterms:modified>
</cp:coreProperties>
</file>